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DC" w:rsidRDefault="007511DC" w:rsidP="007511DC">
      <w:pPr>
        <w:pStyle w:val="rozdzial"/>
        <w:ind w:left="0" w:firstLine="0"/>
      </w:pPr>
      <w:r>
        <w:t>Fizyka klasa VIII</w:t>
      </w: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 wymagania na poszczególne stopnie (oceny) 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764"/>
        <w:gridCol w:w="3076"/>
        <w:gridCol w:w="3260"/>
        <w:gridCol w:w="2552"/>
        <w:gridCol w:w="2552"/>
      </w:tblGrid>
      <w:tr w:rsidR="007511DC" w:rsidRPr="0080186D" w:rsidTr="007511DC">
        <w:trPr>
          <w:tblHeader/>
          <w:jc w:val="center"/>
        </w:trPr>
        <w:tc>
          <w:tcPr>
            <w:tcW w:w="2764" w:type="dxa"/>
            <w:tcBorders>
              <w:bottom w:val="single" w:sz="8" w:space="0" w:color="E8B418"/>
            </w:tcBorders>
            <w:shd w:val="clear" w:color="auto" w:fill="F8E7C0"/>
          </w:tcPr>
          <w:p w:rsidR="007511DC" w:rsidRPr="0080186D" w:rsidRDefault="007511DC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</w:p>
        </w:tc>
        <w:tc>
          <w:tcPr>
            <w:tcW w:w="3076" w:type="dxa"/>
            <w:tcBorders>
              <w:bottom w:val="single" w:sz="8" w:space="0" w:color="E8B418"/>
            </w:tcBorders>
            <w:shd w:val="clear" w:color="auto" w:fill="F8E7C0"/>
          </w:tcPr>
          <w:p w:rsidR="007511DC" w:rsidRPr="0080186D" w:rsidRDefault="007511DC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</w:p>
        </w:tc>
        <w:tc>
          <w:tcPr>
            <w:tcW w:w="3260" w:type="dxa"/>
            <w:tcBorders>
              <w:bottom w:val="single" w:sz="8" w:space="0" w:color="E8B418"/>
            </w:tcBorders>
            <w:shd w:val="clear" w:color="auto" w:fill="F8E7C0"/>
          </w:tcPr>
          <w:p w:rsidR="007511DC" w:rsidRPr="0080186D" w:rsidRDefault="007511DC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</w:p>
        </w:tc>
        <w:tc>
          <w:tcPr>
            <w:tcW w:w="2552" w:type="dxa"/>
            <w:tcBorders>
              <w:bottom w:val="single" w:sz="8" w:space="0" w:color="E8B418"/>
            </w:tcBorders>
            <w:shd w:val="clear" w:color="auto" w:fill="F8E7C0"/>
          </w:tcPr>
          <w:p w:rsidR="007511DC" w:rsidRPr="0080186D" w:rsidRDefault="007511DC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r>
              <w:rPr>
                <w:b/>
                <w:color w:val="9B2424"/>
                <w:sz w:val="17"/>
                <w:szCs w:val="17"/>
              </w:rPr>
              <w:t xml:space="preserve"> </w:t>
            </w:r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</w:p>
        </w:tc>
        <w:tc>
          <w:tcPr>
            <w:tcW w:w="2552" w:type="dxa"/>
            <w:tcBorders>
              <w:bottom w:val="single" w:sz="8" w:space="0" w:color="E8B418"/>
            </w:tcBorders>
            <w:shd w:val="clear" w:color="auto" w:fill="F8E7C0"/>
          </w:tcPr>
          <w:p w:rsidR="007511DC" w:rsidRPr="0080186D" w:rsidRDefault="007511DC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color w:val="9B2424"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r>
              <w:rPr>
                <w:b/>
                <w:color w:val="9B2424"/>
                <w:sz w:val="17"/>
                <w:szCs w:val="17"/>
              </w:rPr>
              <w:t xml:space="preserve"> celujący</w:t>
            </w:r>
          </w:p>
        </w:tc>
      </w:tr>
      <w:tr w:rsidR="007511DC" w:rsidRPr="0080186D" w:rsidTr="007511DC">
        <w:trPr>
          <w:jc w:val="center"/>
        </w:trPr>
        <w:tc>
          <w:tcPr>
            <w:tcW w:w="11652" w:type="dxa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  <w:tc>
          <w:tcPr>
            <w:tcW w:w="2552" w:type="dxa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2764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ele-ktrostatyka; wskazuje przykłady elektryzowania ciał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ka jako substancji, w której łatwo mogą się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przemieszczać ładunki elektryczne, i izolatora jako substan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 w której ładunki elektryczne nie mogą się przemieszczać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rysunków informacje kluczowe dla opisywane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076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 i dotyk; informuje, że te zjawiska polegają na przemieszczaniu się elektronów; ilustruje to na przykładach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 i różnoimien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nych; podaje przykłady oddziaływań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elektrostatycznych w otaczającej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 i ich zastosowań (poznane na lekcji)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 a kiedy jest nałado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 a kiedy – jon ujemny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 i izolatorów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stosujezasadęzachowaniaładunkuelektrycznego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 w przewodnikach pod wpływem oddziaływania ładunku zewnętrznego (indukcja elektrostatyczna)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podaje przykłady skutków i wykorzystania indukcji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elektrostatycznej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7511DC" w:rsidRPr="0080186D" w:rsidRDefault="007511DC" w:rsidP="007511DC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7511DC" w:rsidRPr="0080186D" w:rsidRDefault="007511DC" w:rsidP="007511DC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7511DC" w:rsidRDefault="007511DC" w:rsidP="007511DC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7511DC" w:rsidRPr="00D80932" w:rsidRDefault="007511DC" w:rsidP="007511DC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 z ich opisów i przestrzegając zasad bezpieczeństwa; opisuje 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 i sposób postępowania, wyjaśnia rolę użytych przyrządów, przedstawia wyniki i formułuje wnioski na podstawie tych wyników)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3260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 w otaczającej rzeczywistości i ich zastosowań (inne niż poznane na lekcji)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 i grawitacyjne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Pr="0080186D">
              <w:rPr>
                <w:sz w:val="17"/>
                <w:szCs w:val="17"/>
              </w:rPr>
              <w:t>analizujetzw. szeregtryboelektryczny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 wykorzystaniem zależności, że każdy ładunek elektryczny jest wielokrotnością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ładunku elementarne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 i zapisuje wynik zgodnie z zasadami zaokrąglania, z zachowaniem liczby cyfr znaczących wynikającej z danych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 w metalach znajdują się elektrony swobodne, a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w izo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 z atoma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 i izolatory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 z 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7511DC" w:rsidRPr="0080186D" w:rsidRDefault="007511DC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 i zobojętnienie zgromadzonego na nim ładunku elektrycznego</w:t>
            </w:r>
          </w:p>
          <w:p w:rsidR="007511DC" w:rsidRPr="0080186D" w:rsidRDefault="007511DC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 i zastosowanie pioruno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7511DC" w:rsidRPr="0080186D" w:rsidRDefault="007511DC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projektujei przeprowadza:</w:t>
            </w:r>
          </w:p>
          <w:p w:rsidR="007511DC" w:rsidRPr="0080186D" w:rsidRDefault="007511DC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7511DC" w:rsidRDefault="007511DC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7511DC" w:rsidRPr="00D80932" w:rsidRDefault="007511DC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 i nieistotne dla wyników doświadczeń; formułuje wnioski na podstawie wyników doświadczeń</w:t>
            </w:r>
          </w:p>
          <w:p w:rsidR="007511DC" w:rsidRPr="0080186D" w:rsidRDefault="007511DC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7511DC" w:rsidRPr="0080186D" w:rsidRDefault="007511DC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Default="007511DC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niezłożone, 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Pr="0080186D">
              <w:rPr>
                <w:sz w:val="17"/>
                <w:szCs w:val="17"/>
              </w:rPr>
              <w:t>Uczeń:</w:t>
            </w:r>
          </w:p>
          <w:p w:rsidR="007511DC" w:rsidRPr="007511DC" w:rsidRDefault="007511DC" w:rsidP="007511DC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7511DC" w:rsidRPr="007511DC" w:rsidRDefault="007511DC" w:rsidP="007511DC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7511DC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7511DC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7511DC" w:rsidRPr="0080186D" w:rsidTr="007511DC">
        <w:trPr>
          <w:jc w:val="center"/>
        </w:trPr>
        <w:tc>
          <w:tcPr>
            <w:tcW w:w="1165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2764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obwodu elektrycznego; podaje warunki przepływu prądu elektrycznego w obwodzie elektrycznym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rozpoznaje zależność rosnącą bądź malejącą na podstawie danych z tabeli lub na podstawie wykresu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3076" w:type="dxa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:rsidR="007511DC" w:rsidRPr="006C5765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7511DC" w:rsidRPr="00173924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7511DC" w:rsidRPr="00173924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 xml:space="preserve">wyjaśnia różnicę między prądem stałym i przemiennym; wskazuje baterię, akumulator i zasilacz jako </w:t>
            </w:r>
            <w:r w:rsidRPr="00173924">
              <w:rPr>
                <w:spacing w:val="-8"/>
                <w:sz w:val="17"/>
                <w:szCs w:val="17"/>
                <w:lang w:val="pl-PL"/>
              </w:rPr>
              <w:lastRenderedPageBreak/>
              <w:t>źródła stałego napięcia; odróżnia to napięcie od napięcia w przewodach doprowadzających prąd do mieszkań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7511DC" w:rsidRDefault="007511DC" w:rsidP="007511DC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7511DC" w:rsidRPr="006C5765" w:rsidRDefault="007511DC" w:rsidP="007511DC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 xml:space="preserve">korzystając z ich opisów i przestrzegając zasad bezpieczeństwa; odczytuje wskazania mierników; opisuje </w:t>
            </w:r>
            <w:r w:rsidRPr="006C5765">
              <w:rPr>
                <w:sz w:val="17"/>
                <w:szCs w:val="17"/>
                <w:lang w:val="pl-PL"/>
              </w:rPr>
              <w:lastRenderedPageBreak/>
              <w:t>przebieg przeprowadzonego doświadczenia (wyróż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3260" w:type="dxa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7511DC" w:rsidRPr="0080186D" w:rsidRDefault="007511DC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7511DC" w:rsidRPr="0080186D" w:rsidRDefault="007511DC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przewodnika przez pomiary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7511DC" w:rsidRPr="0080186D" w:rsidRDefault="007511DC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7511DC" w:rsidRPr="006C5765" w:rsidRDefault="007511DC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255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7511DC" w:rsidRDefault="007511DC" w:rsidP="007511DC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</w:t>
            </w:r>
            <w:r>
              <w:rPr>
                <w:sz w:val="17"/>
                <w:szCs w:val="17"/>
                <w:lang w:val="pl-PL"/>
              </w:rPr>
              <w:t xml:space="preserve">niezłożone, </w:t>
            </w:r>
            <w:r w:rsidRPr="0080186D">
              <w:rPr>
                <w:sz w:val="17"/>
                <w:szCs w:val="17"/>
                <w:lang w:val="pl-PL"/>
              </w:rPr>
              <w:t>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7511DC" w:rsidRPr="0080186D" w:rsidRDefault="007511DC" w:rsidP="007511DC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173924" w:rsidRDefault="007511DC" w:rsidP="007511DC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doświad-czenie (inne niż opisane w podręczniku)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2764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</w:p>
        </w:tc>
        <w:tc>
          <w:tcPr>
            <w:tcW w:w="3076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</w:p>
        </w:tc>
        <w:tc>
          <w:tcPr>
            <w:tcW w:w="3260" w:type="dxa"/>
            <w:vMerge/>
            <w:tcBorders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1165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2764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 w obecności magnesu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 w otoczeniu prostoliniowego przewodnika z prądem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zwojnicy; stwierdza, że zwojnica, przez którą płynie prąd elektryczny, zachowuje się jak magnes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 i ilustracji informacje kluczowe dla opisywa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doświadczeń, przestrzegając zasad bezpieczeństwa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076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na przykładzie żelaza oddziaływanie magnesów na materiały magnetyczne; stwierdza, że w pobliżu magnesu każdy kawałek żelaza staje się magnesem (namagnesowuje się),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a przedmioty wyko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 z ferromagnetyku wzmacniają oddziaływanie magnetyczne magnesu</w:t>
            </w:r>
          </w:p>
          <w:p w:rsidR="007511DC" w:rsidRPr="00750CCB" w:rsidRDefault="007511DC" w:rsidP="007511DC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 z prądem na igłę magnetyczną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 a kiedy odpychają)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i działanie elektromagnesu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 i magnesów; podaje przykłady zastosowania elektromagnesów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nesów oraz oddziaływanie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magnesów na żelazo i inne materiały magnetyczne,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 w otoczeniu prostoliniowego przewod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 z prądem,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 i przewodników z prądem oraz wzajemne oddziaływanie przewodników z prądem,</w:t>
            </w:r>
          </w:p>
          <w:p w:rsidR="007511DC" w:rsidRDefault="007511DC" w:rsidP="007511DC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wości zwojnicy od obecności w niej rdzenia z ferromagnetyku oraz liczby zwojów i natężenia prądu płynącego przez zwoje, </w:t>
            </w:r>
          </w:p>
          <w:p w:rsidR="007511DC" w:rsidRPr="0080186D" w:rsidRDefault="007511DC" w:rsidP="007511DC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 i przestrzegając zasad bezpieczeństwa; wskazuje rolę użytych przyrządów oraz czynniki istotne i nieistotne dla wyników doświadczeń;formułuje wnioski na podstawie tych wyników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3260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 i magnetyczne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opisuje sposoby wyznaczania biegunowości magnetycznej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i zwojnicy (reguła śruby prawoskrętnej, reguła prawej dłoni, na podstawie ułożenia strzałek oznaczają-cych kierunek prądu – metoda liter S i N); stosuje wybrany sposób wyznaczania biegunowości przewod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wyjaśnia, co to są paramagnetyki i diamagnetyki; podaje ich przykłady; przeprowadza doświadczenie wy</w:t>
            </w:r>
            <w:r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 z jego opisu; formułuje wniosek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 i zwrot działania siły magnetycznej na podstawie reguły lewej dłoni</w:t>
            </w:r>
          </w:p>
          <w:p w:rsidR="007511DC" w:rsidRPr="00750CCB" w:rsidRDefault="007511DC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7511DC" w:rsidRPr="0080186D" w:rsidRDefault="007511DC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 i zwrot,</w:t>
            </w:r>
          </w:p>
          <w:p w:rsidR="007511DC" w:rsidRDefault="007511DC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7511DC" w:rsidRPr="00750CCB" w:rsidRDefault="007511DC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 xml:space="preserve">korzystając z ich opisu i przestrzegając zasad bezpieczeństwa; formułuje wnioski na podstawie wyników </w:t>
            </w:r>
            <w:r w:rsidRPr="00750CCB">
              <w:rPr>
                <w:sz w:val="17"/>
                <w:szCs w:val="17"/>
                <w:lang w:val="pl-PL"/>
              </w:rPr>
              <w:lastRenderedPageBreak/>
              <w:t>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7511DC" w:rsidRPr="0080186D" w:rsidRDefault="007511DC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 i ich zastosowa</w:t>
            </w:r>
            <w:r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buduje elektromagnes (inny niż opisany w podręczniku); demonstruje jego działanie, 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</w:t>
            </w:r>
            <w:r>
              <w:rPr>
                <w:sz w:val="17"/>
                <w:szCs w:val="17"/>
                <w:lang w:val="pl-PL"/>
              </w:rPr>
              <w:t xml:space="preserve">niezłożone, </w:t>
            </w:r>
            <w:r w:rsidRPr="0080186D">
              <w:rPr>
                <w:sz w:val="17"/>
                <w:szCs w:val="17"/>
                <w:lang w:val="pl-PL"/>
              </w:rPr>
              <w:t xml:space="preserve">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</w:p>
          <w:p w:rsidR="007511DC" w:rsidRPr="0080186D" w:rsidRDefault="007511DC" w:rsidP="007511DC">
            <w:pPr>
              <w:pStyle w:val="TableParagraph"/>
              <w:tabs>
                <w:tab w:val="left" w:pos="225"/>
              </w:tabs>
              <w:spacing w:after="20"/>
              <w:jc w:val="both"/>
              <w:rPr>
                <w:i/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r w:rsidRPr="0080186D">
              <w:rPr>
                <w:sz w:val="17"/>
                <w:szCs w:val="17"/>
              </w:rPr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 z analizą schematów urządzeń zawierających elektromagnesy)</w:t>
            </w:r>
          </w:p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1165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DRGANIAi FALE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2764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511DC" w:rsidRPr="000B39E2" w:rsidRDefault="007511DC" w:rsidP="007511D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 w otaczającej rzeczywistości</w:t>
            </w:r>
          </w:p>
          <w:p w:rsidR="007511DC" w:rsidRPr="000B39E2" w:rsidRDefault="007511DC" w:rsidP="007511D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 xml:space="preserve">posługuje się pojęciami okresu i częstotliwości wraz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z ich jednostka-mi do opisu ruchu okresowego</w:t>
            </w:r>
          </w:p>
          <w:p w:rsidR="007511DC" w:rsidRPr="000B39E2" w:rsidRDefault="007511DC" w:rsidP="007511D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 i długości fali do opisu fal; podaje przykłady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 a do jego 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 w próżni); podaje przykłady źródeł dźwięków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 i okresem fali, jak w przypadku fal mechani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 w różnych ośrodkach, korzystając z tabeli tych wartości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netycznych: radiowe, mikrofale, promieniowanie podczerwone, światło widzialne, promieniowanie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nadfioletowe, rentgenowskie i gamma; podaje przykłady ich zastosowania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 i amplitudę drgań,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 i wodzie,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 i wykazuje, że do rozchodzenia się dźwięku potrzebny jest ośrodek,</w:t>
            </w:r>
          </w:p>
          <w:p w:rsidR="007511DC" w:rsidRDefault="007511DC" w:rsidP="007511DC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 i zależność ich głośności od amplitudy drgań,</w:t>
            </w:r>
          </w:p>
          <w:p w:rsidR="007511DC" w:rsidRPr="007A2480" w:rsidRDefault="007511DC" w:rsidP="007511DC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 z ich opisów; opisuje przebieg przeprowadzonego 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Pr="007A2480">
              <w:rPr>
                <w:sz w:val="17"/>
                <w:szCs w:val="17"/>
                <w:lang w:val="pl-PL"/>
              </w:rPr>
              <w:t>wyniki i formułuje wnioski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</w:tc>
        <w:tc>
          <w:tcPr>
            <w:tcW w:w="3076" w:type="dxa"/>
            <w:tcBorders>
              <w:top w:val="single" w:sz="6" w:space="0" w:color="C4C4C4"/>
            </w:tcBorders>
            <w:shd w:val="clear" w:color="auto" w:fill="FDFAF1"/>
          </w:tcPr>
          <w:p w:rsidR="007511DC" w:rsidRPr="000B39E2" w:rsidRDefault="007511DC" w:rsidP="007511DC">
            <w:pPr>
              <w:pStyle w:val="TableParagraph"/>
              <w:spacing w:after="20" w:line="240" w:lineRule="exact"/>
              <w:ind w:left="170" w:hanging="170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lastRenderedPageBreak/>
              <w:t>Uczeń:</w:t>
            </w:r>
          </w:p>
          <w:p w:rsidR="007511DC" w:rsidRPr="000B39E2" w:rsidRDefault="007511DC" w:rsidP="007511D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  <w:p w:rsidR="007511DC" w:rsidRPr="000B39E2" w:rsidRDefault="007511DC" w:rsidP="007511D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wykona-nych w 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) i na tej podstawie określa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lastRenderedPageBreak/>
              <w:t>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ujew obliczeniach związek między częstotliwością a 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7511DC" w:rsidRPr="00921BA1" w:rsidRDefault="007511DC" w:rsidP="007511D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doświadczalnie wyznacza okres i częstotli-wość w ruchuokresowym (wahadła i 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obliczeniai zapisuje wyniki zgodnie z zasadami zaokrąglania, z zachowaniem liczby cyfr znaczących wynikającej z dokładności pomiarów; formułuje wnioski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 i energii potencjalnej sprężysto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 w ruchu drgającym; podaje przykłady przemian energii podczas drgań zachodzących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przedstawia na schematycznym rysunku wykres zależności położenia od czasu w ruchu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drgającym; zaznacza na nim amplitudę i okres drgań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7511DC" w:rsidRPr="007A2480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 i częstotliwością (lub okresem) fali: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7A2480">
              <w:rPr>
                <w:sz w:val="17"/>
                <w:szCs w:val="17"/>
                <w:lang w:val="pl-PL"/>
              </w:rPr>
              <w:t>(lub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8909F2">
              <w:rPr>
                <w:sz w:val="16"/>
                <w:szCs w:val="16"/>
                <w:lang w:val="pl-PL"/>
              </w:rPr>
              <w:t>)</w:t>
            </w:r>
          </w:p>
          <w:p w:rsidR="007511DC" w:rsidRPr="007A2480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 w obliczeniach związki między okres</w:t>
            </w:r>
            <w:r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sz w:val="17"/>
                <w:szCs w:val="17"/>
                <w:lang w:val="pl-PL"/>
              </w:rPr>
              <w:t>, częstotliwością i długością fali wraz z ich jednostkami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 o różnych częstotliwościach z wykorzy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i rozcho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 w powietrzu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 i infradźwięki; podaje przykłady ich źródeł i zastosowania; opisuje szkodliwość hałasu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obserwuje oscylogramy dźwięków z wykorzystaniem różnych technik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 w czasie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 i częstotliwości fal, korzystając z diagramu przedstawiającego widmo fal elektromagnetycznych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 i różnice w rozchodzeniu się fal mechanicznych i elektromagnetycznych; podaje wartość prędkości fal elektromagnetycznych w próżni; porównuje wybrane fale (np.</w:t>
            </w:r>
            <w:r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 i świetlne)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Drgania i fale </w:t>
            </w:r>
            <w:r w:rsidRPr="0080186D">
              <w:rPr>
                <w:sz w:val="17"/>
                <w:szCs w:val="17"/>
                <w:lang w:val="pl-PL"/>
              </w:rPr>
              <w:t>(przelicza wielokrotności i podwielokrotności oraz jednostki czasu, przeprowadza oblicze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 i zapisuje wynik zgodnie z zasadami zaokrąglania, z zachowaniem liczby cyfr znaczących wynikającej z danych)</w:t>
            </w:r>
          </w:p>
        </w:tc>
        <w:tc>
          <w:tcPr>
            <w:tcW w:w="3260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 w ruchu drgającym; na podstawie tych wykresów porównuje drgania ciał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analizuje wykres fali; wskazuje oraz wyznacza jej długość i amplitudę; porównuje fale na podstawie ich ilustracji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 w wybranym instrumencie muzycznym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analizujeoscylogramyróżnychdźwięków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80186D">
              <w:rPr>
                <w:sz w:val="17"/>
                <w:szCs w:val="17"/>
                <w:lang w:val="pl-PL"/>
              </w:rPr>
              <w:t>); określa progi słyszalności i bólu oraz poziom natężenia hałasu szkodliwego dla zdrowia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Prędkość i częstotliwość dźwięku </w:t>
            </w:r>
            <w:r w:rsidRPr="0080186D">
              <w:rPr>
                <w:sz w:val="17"/>
                <w:szCs w:val="17"/>
                <w:lang w:val="pl-PL"/>
              </w:rPr>
              <w:t>(opisany w podręczniku)</w:t>
            </w: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921BA1" w:rsidRDefault="007511DC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projektuje i przeprowadza doświadczenie </w:t>
            </w:r>
            <w:r>
              <w:rPr>
                <w:spacing w:val="-4"/>
                <w:sz w:val="17"/>
                <w:szCs w:val="17"/>
                <w:lang w:val="pl-PL"/>
              </w:rPr>
              <w:t xml:space="preserve">wie od </w:t>
            </w:r>
            <w:r w:rsidR="009964CE">
              <w:rPr>
                <w:spacing w:val="-4"/>
                <w:sz w:val="17"/>
                <w:szCs w:val="17"/>
                <w:lang w:val="pl-PL"/>
              </w:rPr>
              <w:t xml:space="preserve">czego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 zależą, a od czego nie zależą okres i częstotliwość w ruchu okresowym; opracowuje i krytycznie ocenia wyniki doświadczenia; formułujewnioski i prezentuje efekty przeprowadzo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7511DC" w:rsidRPr="0080186D" w:rsidRDefault="009964CE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lastRenderedPageBreak/>
              <w:t xml:space="preserve">rozwiązuje zadania </w:t>
            </w:r>
            <w:r w:rsidR="007511DC" w:rsidRPr="0080186D">
              <w:rPr>
                <w:sz w:val="17"/>
                <w:szCs w:val="17"/>
                <w:lang w:val="pl-PL"/>
              </w:rPr>
              <w:t xml:space="preserve">typowe (lub problemy), dotyczące treści rozdziału </w:t>
            </w:r>
            <w:r w:rsidR="007511DC"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7511DC" w:rsidRPr="0080186D" w:rsidRDefault="007511DC" w:rsidP="009964CE">
            <w:pPr>
              <w:pStyle w:val="TableParagraph"/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</w:t>
            </w:r>
            <w:r w:rsidRPr="0080186D">
              <w:rPr>
                <w:sz w:val="17"/>
                <w:szCs w:val="17"/>
              </w:rPr>
              <w:t>Uczeń:</w:t>
            </w:r>
          </w:p>
          <w:p w:rsidR="007511DC" w:rsidRPr="00921BA1" w:rsidRDefault="007511DC" w:rsidP="007511D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projektuje i przeprowadza doświadczenie (inne niż opisane w podręczniku) w celu zbadania, od czego (i jak) zależą, a od czego nie zależą okres i częstotliwość w ruchu okresowym; opracowuje i krytycznie ocenia wyniki doświadczenia;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lastRenderedPageBreak/>
              <w:t>formułujewnioski i prezentuje efekty przeprowadzo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9964CE" w:rsidRPr="0080186D" w:rsidRDefault="009964CE" w:rsidP="009964CE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 i fale</w:t>
            </w:r>
          </w:p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11652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9964CE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  <w:tc>
          <w:tcPr>
            <w:tcW w:w="2552" w:type="dxa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7511DC" w:rsidRPr="0080186D" w:rsidRDefault="007511DC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7511DC" w:rsidRPr="0080186D" w:rsidTr="007511DC">
        <w:trPr>
          <w:jc w:val="center"/>
        </w:trPr>
        <w:tc>
          <w:tcPr>
            <w:tcW w:w="2764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 w:line="208" w:lineRule="atLeas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7511DC" w:rsidRPr="00B02444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 xml:space="preserve">wymienia źródła światła; </w:t>
            </w:r>
            <w:r w:rsidRPr="00B02444">
              <w:rPr>
                <w:spacing w:val="-4"/>
                <w:sz w:val="17"/>
                <w:szCs w:val="17"/>
                <w:lang w:val="pl-PL"/>
              </w:rPr>
              <w:lastRenderedPageBreak/>
              <w:t>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 w ośrodku jednorodnym; podaje przykłady prostoliniowego biegu promieni światła w ota- 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 i rozproszenia światła; podaje przykłady odbicia i rozproszenia światła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 i promienia krzywizny zwierciadła; wymienia cechy obrazów wytworzo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nych przez zwierciadła (pozorne lub rzeczywiste, proste lub odwrócone, powiększone,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pomniejszone lub tej samej wielkości co przedmiot)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 i ilustruje to brakiem rozszcze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 w pryzmacie; porównuje przejście światła jednobarwnego i światła białego przez pryzmat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 irozpraszające);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7511DC" w:rsidRPr="00B02444" w:rsidRDefault="007511DC" w:rsidP="007511D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 i pozornych wytwarzanych przez soczewki, znając położenie ogniska</w:t>
            </w:r>
          </w:p>
          <w:p w:rsidR="007511DC" w:rsidRPr="00B02444" w:rsidRDefault="007511DC" w:rsidP="007511D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 i wysokości przedmiotu</w:t>
            </w:r>
          </w:p>
          <w:p w:rsidR="007511DC" w:rsidRPr="00B02444" w:rsidRDefault="007511DC" w:rsidP="007511D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przeprowadzadoświadczenia:</w:t>
            </w:r>
          </w:p>
          <w:p w:rsidR="007511DC" w:rsidRPr="00B02444" w:rsidRDefault="007511DC" w:rsidP="007511DC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 i wykazuje przekazywanie energii przez światło,</w:t>
            </w:r>
          </w:p>
          <w:p w:rsidR="007511DC" w:rsidRPr="00B02444" w:rsidRDefault="007511DC" w:rsidP="007511DC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powstawanie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obszarów cienia i półcienia,</w:t>
            </w:r>
          </w:p>
          <w:p w:rsidR="007511DC" w:rsidRPr="00B02444" w:rsidRDefault="007511DC" w:rsidP="007511DC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 i rozpro-szenia światła,</w:t>
            </w:r>
          </w:p>
          <w:p w:rsidR="007511DC" w:rsidRPr="00B02444" w:rsidRDefault="007511DC" w:rsidP="007511DC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7511DC" w:rsidRPr="00B02444" w:rsidRDefault="007511DC" w:rsidP="007511DC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 w zależności od kąta padania oraz przejście światła jedno</w:t>
            </w:r>
            <w:r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 i światła białego przez pryzmat,</w:t>
            </w:r>
          </w:p>
          <w:p w:rsidR="007511DC" w:rsidRPr="00B02444" w:rsidRDefault="007511DC" w:rsidP="007511DC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 i rozpraszającą,</w:t>
            </w:r>
          </w:p>
          <w:p w:rsidR="007511DC" w:rsidRPr="00B02444" w:rsidRDefault="007511DC" w:rsidP="007511DC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soczewki skupiające,</w:t>
            </w:r>
          </w:p>
          <w:p w:rsidR="007511DC" w:rsidRPr="00B02444" w:rsidRDefault="007511DC" w:rsidP="007511DC">
            <w:pPr>
              <w:pStyle w:val="TableParagraph"/>
              <w:tabs>
                <w:tab w:val="left" w:pos="393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Pr="00B02444">
              <w:rPr>
                <w:sz w:val="17"/>
                <w:szCs w:val="17"/>
                <w:lang w:val="pl-PL"/>
              </w:rPr>
              <w:t>orzystając zich opisu i</w:t>
            </w:r>
            <w:r>
              <w:rPr>
                <w:sz w:val="17"/>
                <w:szCs w:val="17"/>
                <w:lang w:val="pl-PL"/>
              </w:rPr>
              <w:t> </w:t>
            </w:r>
            <w:r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 i 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ilu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współpracuje w zespole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podczas przeprowadzania obserwacji i doświadczeń, przestrzegając zasad bezpieczeństwa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076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7511DC">
            <w:pPr>
              <w:pStyle w:val="TableParagraph"/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rozchodzenie się światła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ośrodku jednorodnym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 w próżni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 i półcienia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 i Księżyca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7511DC" w:rsidRPr="00BB3E18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 w zwierciadle wklęsłym; posługuje się pojęciami ogniska i ogniskowej zwierciadła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podaje przykłady wykorzystania zwierciadeł w otaczającej rzeczywistości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konstruuje graficznie bieg promieni ilustrujący powstawanie obrazów rzeczy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 i pozornych wytwarzanych przez zwierciadła sferyczne, znając położenie ogniska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i stosuje prawo załamania światła (jakościowo)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 w pryzmacie; podaje inne przykłady rozszczepienia światła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i stosuje odwracalność biegu promieni świetlnych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(stwierdza np., że promienie wychodzące z ogniska po załamaniu w soczewce skupiającej tworzą wiązkę promieni równoległych do osi optycznej)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 w zależności od odległości przedmiotu od soczewki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 i dalekowzroczności; opisuje rolę soczewek w korygowaniu tych wad wzroku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przeprowadzadoświadczenia: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 i wyznacza jej ognisko,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zwier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ciadeł sferycznych,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 w pryzmacie,</w:t>
            </w:r>
          </w:p>
          <w:p w:rsidR="007511DC" w:rsidRPr="0080186D" w:rsidRDefault="007511DC" w:rsidP="007511D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7511DC" w:rsidRDefault="007511DC" w:rsidP="007511DC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7511DC" w:rsidRPr="00B02444" w:rsidRDefault="007511DC" w:rsidP="007511DC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7511DC" w:rsidRPr="0080186D" w:rsidRDefault="007511DC" w:rsidP="007511DC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3260" w:type="dxa"/>
            <w:tcBorders>
              <w:top w:val="single" w:sz="6" w:space="0" w:color="C4C4C4"/>
            </w:tcBorders>
            <w:shd w:val="clear" w:color="auto" w:fill="FDFAF1"/>
          </w:tcPr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Pr="0005791D" w:rsidRDefault="007511DC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 xml:space="preserve">wskazuje prędkość światła jako </w:t>
            </w:r>
            <w:r w:rsidRPr="0005791D">
              <w:rPr>
                <w:spacing w:val="4"/>
                <w:sz w:val="17"/>
                <w:szCs w:val="17"/>
                <w:lang w:val="pl-PL"/>
              </w:rPr>
              <w:lastRenderedPageBreak/>
              <w:t>maksymalną prędkość przepływu informacji; porównuje wartości prędkości światła w różnych ośrodkach przezroczystych</w:t>
            </w:r>
          </w:p>
          <w:p w:rsidR="007511DC" w:rsidRPr="0005791D" w:rsidRDefault="007511DC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 i Księżyca, korzystając ze schematycznych rysunków przedsta</w:t>
            </w:r>
            <w:r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7511DC" w:rsidRPr="0080186D" w:rsidRDefault="007511DC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7511DC" w:rsidRPr="0080186D" w:rsidRDefault="007511DC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7511DC" w:rsidRPr="0005791D" w:rsidRDefault="007511DC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 i stosuje związek ogniskowejz promieniemkrzywizny (w przybliżeniu</w:t>
            </w:r>
            <w:r w:rsidRPr="0005791D">
              <w:rPr>
                <w:sz w:val="17"/>
                <w:szCs w:val="17"/>
                <w:lang w:val="pl-PL"/>
              </w:rPr>
              <w:br/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 i stosuje odwracalność biegu promieni świetlnych (stwierdza np., że promienie wychodzącez ogniska po odbiciu od zwierciadła tworzą wiązkę promieni równoległych do osi optycznej)</w:t>
            </w:r>
          </w:p>
          <w:p w:rsidR="007511DC" w:rsidRPr="0080186D" w:rsidRDefault="007511DC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wytwarzanego przez zwierciadła sferyczne w zależności od odległości przedmiotu od zwierciadła</w:t>
            </w:r>
          </w:p>
          <w:p w:rsidR="007511DC" w:rsidRPr="0005791D" w:rsidRDefault="007511DC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zwierciadła i odległości przedmiotu od zwierciadła; podaje i stosuje wzory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na powiększenie obrazu (np.: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7511DC" w:rsidRPr="0005791D" w:rsidRDefault="007511DC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światław pryzmacie, posługując się związkiem między prędkością światła a długością fali świetlnej w różnych ośrodkach i odwołując się do widma światła białego</w:t>
            </w:r>
          </w:p>
          <w:p w:rsidR="007511DC" w:rsidRPr="0080186D" w:rsidRDefault="007511DC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opisujezjawiskopowstawaniatęczy</w:t>
            </w:r>
          </w:p>
          <w:p w:rsidR="007511DC" w:rsidRPr="0005791D" w:rsidRDefault="007511DC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>
              <w:rPr>
                <w:spacing w:val="-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piającej soczewki wraz z jej jednostką (</w:t>
            </w:r>
            <w:r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7511DC" w:rsidRPr="0005791D" w:rsidRDefault="007511DC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Pr="0005791D">
              <w:rPr>
                <w:sz w:val="17"/>
                <w:szCs w:val="17"/>
                <w:lang w:val="pl-PL"/>
              </w:rPr>
              <w:t>)</w:t>
            </w:r>
            <w:r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 w zależności od odległości przedmiotu od soczewki skupiającej i rodzaju soczewki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pojęciami astygmatyzmu i da</w:t>
            </w:r>
            <w:r>
              <w:rPr>
                <w:sz w:val="17"/>
                <w:szCs w:val="17"/>
                <w:lang w:val="pl-PL"/>
              </w:rPr>
              <w:t>l</w:t>
            </w:r>
            <w:r w:rsidRPr="0080186D">
              <w:rPr>
                <w:sz w:val="17"/>
                <w:szCs w:val="17"/>
                <w:lang w:val="pl-PL"/>
              </w:rPr>
              <w:t>tonizmu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7511DC" w:rsidRPr="0080186D" w:rsidRDefault="007511DC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tekstu: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Zastosowanie prawa odbicia i 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 w podręczniku)</w:t>
            </w: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:rsidR="009964CE" w:rsidRPr="009964CE" w:rsidRDefault="009964CE" w:rsidP="009964C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7511DC" w:rsidRDefault="009964CE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</w:t>
            </w:r>
            <w:r w:rsidR="007511DC" w:rsidRPr="0080186D">
              <w:rPr>
                <w:sz w:val="17"/>
                <w:szCs w:val="17"/>
                <w:lang w:val="pl-PL"/>
              </w:rPr>
              <w:t xml:space="preserve">typowe </w:t>
            </w:r>
            <w:r w:rsidR="007511DC" w:rsidRPr="0080186D">
              <w:rPr>
                <w:sz w:val="17"/>
                <w:szCs w:val="17"/>
                <w:lang w:val="pl-PL"/>
              </w:rPr>
              <w:lastRenderedPageBreak/>
              <w:t xml:space="preserve">(lub problemy), dotyczące treści rozdziału </w:t>
            </w:r>
            <w:r w:rsidR="007511DC"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7511DC" w:rsidRPr="009964CE" w:rsidRDefault="009964CE" w:rsidP="009964C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>
              <w:rPr>
                <w:spacing w:val="-8"/>
                <w:sz w:val="17"/>
                <w:szCs w:val="17"/>
                <w:lang w:val="pl-PL"/>
              </w:rPr>
              <w:t xml:space="preserve">opisuje </w:t>
            </w:r>
            <w:r w:rsidRPr="009964CE">
              <w:rPr>
                <w:spacing w:val="-8"/>
                <w:sz w:val="17"/>
                <w:szCs w:val="17"/>
                <w:lang w:val="pl-PL"/>
              </w:rPr>
              <w:t>zjawiska optyczne występujące w przyrodzie</w:t>
            </w:r>
          </w:p>
        </w:tc>
        <w:tc>
          <w:tcPr>
            <w:tcW w:w="2552" w:type="dxa"/>
            <w:tcBorders>
              <w:top w:val="single" w:sz="6" w:space="0" w:color="C4C4C4"/>
            </w:tcBorders>
            <w:shd w:val="clear" w:color="auto" w:fill="FDFAF1"/>
          </w:tcPr>
          <w:p w:rsidR="009964CE" w:rsidRPr="0080186D" w:rsidRDefault="009964CE" w:rsidP="009964CE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lastRenderedPageBreak/>
              <w:t>Uczeń:</w:t>
            </w:r>
          </w:p>
          <w:p w:rsidR="009964CE" w:rsidRPr="0005791D" w:rsidRDefault="009964CE" w:rsidP="009964C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czne występujące </w:t>
            </w:r>
            <w:r w:rsidRPr="0005791D">
              <w:rPr>
                <w:spacing w:val="-8"/>
                <w:sz w:val="17"/>
                <w:szCs w:val="17"/>
                <w:lang w:val="pl-PL"/>
              </w:rPr>
              <w:lastRenderedPageBreak/>
              <w:t>w przyrodzie (np.</w:t>
            </w:r>
            <w:r>
              <w:rPr>
                <w:spacing w:val="-8"/>
                <w:sz w:val="17"/>
                <w:szCs w:val="17"/>
                <w:lang w:val="pl-PL"/>
              </w:rPr>
              <w:t> 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9964CE" w:rsidRPr="0005791D" w:rsidRDefault="009964CE" w:rsidP="009964C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sz w:val="17"/>
                <w:szCs w:val="17"/>
                <w:lang w:val="pl-PL"/>
              </w:rPr>
              <w:t>opisuje wykorzystanie zwierciadeł i soczewek w przyrządach opty</w:t>
            </w:r>
            <w:r>
              <w:rPr>
                <w:spacing w:val="-8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9964CE" w:rsidRPr="0080186D" w:rsidRDefault="009964CE" w:rsidP="009964C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7511DC" w:rsidRPr="0080186D" w:rsidRDefault="007511DC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25" w:rsidRDefault="00DF5425" w:rsidP="005019FC">
      <w:r>
        <w:separator/>
      </w:r>
    </w:p>
  </w:endnote>
  <w:endnote w:type="continuationSeparator" w:id="1">
    <w:p w:rsidR="00DF5425" w:rsidRDefault="00DF5425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DF54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25" w:rsidRDefault="00DF5425" w:rsidP="005019FC">
      <w:r>
        <w:separator/>
      </w:r>
    </w:p>
  </w:footnote>
  <w:footnote w:type="continuationSeparator" w:id="1">
    <w:p w:rsidR="00DF5425" w:rsidRDefault="00DF5425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Default="00D7076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80186D" w:rsidRPr="00A65C11" w:rsidRDefault="00D70765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80186D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C736F0" w:rsidRPr="00C736F0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2051" type="#_x0000_t202" style="position:absolute;margin-left:37.15pt;margin-top:35.45pt;width:122.9pt;height:17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80186D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80186D" w:rsidRPr="00A65C11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D7076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D70765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C736F0" w:rsidRPr="00C736F0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16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DF5425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DF54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64CE"/>
    <w:rsid w:val="000500BA"/>
    <w:rsid w:val="0005791D"/>
    <w:rsid w:val="000B39E2"/>
    <w:rsid w:val="00173924"/>
    <w:rsid w:val="00222A6F"/>
    <w:rsid w:val="002A155F"/>
    <w:rsid w:val="002E66C0"/>
    <w:rsid w:val="003A094A"/>
    <w:rsid w:val="00474684"/>
    <w:rsid w:val="004F6C5C"/>
    <w:rsid w:val="005019FC"/>
    <w:rsid w:val="006A1949"/>
    <w:rsid w:val="006C5765"/>
    <w:rsid w:val="006D5B0B"/>
    <w:rsid w:val="006F7846"/>
    <w:rsid w:val="00711341"/>
    <w:rsid w:val="007203E2"/>
    <w:rsid w:val="00750CCB"/>
    <w:rsid w:val="007511DC"/>
    <w:rsid w:val="00780A46"/>
    <w:rsid w:val="007A2480"/>
    <w:rsid w:val="007B2944"/>
    <w:rsid w:val="007C0287"/>
    <w:rsid w:val="0080186D"/>
    <w:rsid w:val="0085190A"/>
    <w:rsid w:val="00885EEE"/>
    <w:rsid w:val="008909F2"/>
    <w:rsid w:val="008973ED"/>
    <w:rsid w:val="00921BA1"/>
    <w:rsid w:val="009964CE"/>
    <w:rsid w:val="00A125EE"/>
    <w:rsid w:val="00B02444"/>
    <w:rsid w:val="00BB3E18"/>
    <w:rsid w:val="00C736F0"/>
    <w:rsid w:val="00C87594"/>
    <w:rsid w:val="00CA3F76"/>
    <w:rsid w:val="00CB63DD"/>
    <w:rsid w:val="00D36783"/>
    <w:rsid w:val="00D47E02"/>
    <w:rsid w:val="00D70765"/>
    <w:rsid w:val="00D80932"/>
    <w:rsid w:val="00D80D09"/>
    <w:rsid w:val="00DB36F2"/>
    <w:rsid w:val="00DB7AA3"/>
    <w:rsid w:val="00DF5425"/>
    <w:rsid w:val="00E172B9"/>
    <w:rsid w:val="00E7303A"/>
    <w:rsid w:val="00E81C5C"/>
    <w:rsid w:val="00ED4469"/>
    <w:rsid w:val="00F4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ba\Desktop\E.D&#261;browa%20-%20kl.8%20fizyka%20-%20wymagania%20na%20poszczegolne%20oce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E1D3-ACBA-44AA-B579-9C8F6D89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E.Dąbrowa - kl.8 fizyka - wymagania na poszczegolne oceny.dotx</Template>
  <TotalTime>14</TotalTime>
  <Pages>1</Pages>
  <Words>4951</Words>
  <Characters>29711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sambal355@outlook.com</dc:creator>
  <cp:lastModifiedBy>sambal355@outlook.com</cp:lastModifiedBy>
  <cp:revision>4</cp:revision>
  <dcterms:created xsi:type="dcterms:W3CDTF">2024-01-23T15:55:00Z</dcterms:created>
  <dcterms:modified xsi:type="dcterms:W3CDTF">2024-01-23T16:10:00Z</dcterms:modified>
</cp:coreProperties>
</file>